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230B25" w:rsidRPr="00230B25" w:rsidRDefault="00CB2D02" w:rsidP="00CB2D0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Pr="00CB2D02">
              <w:rPr>
                <w:rFonts w:ascii="Times New Roman" w:eastAsia="Calibri" w:hAnsi="Times New Roman" w:cs="Times New Roman"/>
                <w:sz w:val="28"/>
                <w:szCs w:val="24"/>
              </w:rPr>
              <w:t>28.03.2022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CB2D0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  <w:p w:rsidR="002954F8" w:rsidRDefault="002954F8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CB2D02" w:rsidP="00761475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28.03.2022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Pr="002954F8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54F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 w:rsidR="0030125C" w:rsidRPr="002954F8">
        <w:rPr>
          <w:rFonts w:ascii="Times New Roman" w:hAnsi="Times New Roman" w:cs="Times New Roman"/>
          <w:b/>
          <w:bCs/>
          <w:sz w:val="28"/>
          <w:szCs w:val="28"/>
        </w:rPr>
        <w:t>Управление персоналом</w:t>
      </w:r>
    </w:p>
    <w:p w:rsidR="00230B25" w:rsidRPr="002954F8" w:rsidRDefault="00230B25" w:rsidP="00230B25">
      <w:pPr>
        <w:rPr>
          <w:rFonts w:ascii="Times New Roman" w:hAnsi="Times New Roman" w:cs="Times New Roman"/>
          <w:b/>
          <w:sz w:val="28"/>
          <w:szCs w:val="28"/>
        </w:rPr>
      </w:pPr>
      <w:r w:rsidRPr="002954F8">
        <w:rPr>
          <w:rFonts w:ascii="Times New Roman" w:hAnsi="Times New Roman" w:cs="Times New Roman"/>
          <w:b/>
          <w:sz w:val="28"/>
          <w:szCs w:val="28"/>
        </w:rPr>
        <w:t>Профиль (направленность) «</w:t>
      </w:r>
      <w:r w:rsidR="00143687">
        <w:rPr>
          <w:rFonts w:ascii="Times New Roman" w:hAnsi="Times New Roman"/>
          <w:b/>
          <w:sz w:val="28"/>
          <w:szCs w:val="28"/>
        </w:rPr>
        <w:t>Деятельность по обеспечению персоналом</w:t>
      </w:r>
      <w:r w:rsidRPr="002954F8">
        <w:rPr>
          <w:rFonts w:ascii="Times New Roman" w:hAnsi="Times New Roman" w:cs="Times New Roman"/>
          <w:b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 w:rsidR="00CB2D02">
        <w:rPr>
          <w:rFonts w:ascii="Times New Roman" w:hAnsi="Times New Roman" w:cs="Times New Roman"/>
          <w:b/>
          <w:sz w:val="28"/>
          <w:szCs w:val="28"/>
        </w:rPr>
        <w:t>2022</w:t>
      </w:r>
    </w:p>
    <w:p w:rsidR="00CB2D02" w:rsidRDefault="00CB2D02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26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 xml:space="preserve">Управление персоналом </w:t>
      </w:r>
      <w:r w:rsidR="0004554C"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ценностно-смысловой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 w:rsidRPr="002B00B8"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AE59E8">
        <w:rPr>
          <w:rFonts w:ascii="Times New Roman" w:hAnsi="Times New Roman" w:cs="Times New Roman"/>
          <w:sz w:val="28"/>
          <w:szCs w:val="28"/>
        </w:rPr>
        <w:t>ВО определяют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 w:rsidRPr="00AE59E8"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 w:rsidRPr="00AE59E8"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 xml:space="preserve">Управление персоналом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045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6B3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3D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.03.0</w:t>
      </w:r>
      <w:r w:rsidR="006B3B3D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6B3B3D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Управление персоналом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</w:t>
      </w:r>
      <w:proofErr w:type="gramStart"/>
      <w:r w:rsidR="003C0A6C" w:rsidRPr="00BD4D2A">
        <w:rPr>
          <w:sz w:val="28"/>
          <w:szCs w:val="28"/>
        </w:rPr>
        <w:t>ВО</w:t>
      </w:r>
      <w:proofErr w:type="gramEnd"/>
      <w:r w:rsidR="003C0A6C" w:rsidRPr="00BD4D2A">
        <w:rPr>
          <w:sz w:val="28"/>
          <w:szCs w:val="28"/>
        </w:rPr>
        <w:t xml:space="preserve">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BD4D2A">
        <w:rPr>
          <w:rFonts w:cs="Times New Roman"/>
          <w:sz w:val="28"/>
          <w:szCs w:val="28"/>
        </w:rPr>
        <w:t>Кокшетауский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BD4D2A">
        <w:rPr>
          <w:rFonts w:cs="Times New Roman"/>
          <w:sz w:val="28"/>
          <w:szCs w:val="28"/>
        </w:rPr>
        <w:t>Мырзахметова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  <w:r w:rsidR="00B03395" w:rsidRPr="00BD4D2A">
        <w:rPr>
          <w:rFonts w:cs="Times New Roman"/>
          <w:sz w:val="28"/>
          <w:szCs w:val="28"/>
        </w:rPr>
        <w:t xml:space="preserve"> 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  <w:r w:rsidR="0030125C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БУЗОО» </w:t>
      </w:r>
      <w:r w:rsidR="0004706E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Т</w:t>
      </w:r>
      <w:r w:rsidR="0030125C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ерриториальный </w:t>
      </w:r>
      <w:r w:rsidR="0004706E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ц</w:t>
      </w:r>
      <w:r w:rsidR="0030125C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ентр медицины катастроф</w:t>
      </w:r>
      <w:r w:rsidR="0004706E" w:rsidRP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 Омской обла</w:t>
      </w:r>
      <w:r w:rsidR="0004706E">
        <w:rPr>
          <w:rFonts w:eastAsia="Microsoft Sans Serif" w:cs="Times New Roman"/>
          <w:color w:val="000000"/>
          <w:sz w:val="28"/>
          <w:szCs w:val="28"/>
          <w:lang w:eastAsia="ru-RU" w:bidi="ru-RU"/>
        </w:rPr>
        <w:t>сти,</w:t>
      </w:r>
      <w:r w:rsidR="0030125C" w:rsidRPr="0030125C">
        <w:rPr>
          <w:sz w:val="28"/>
          <w:szCs w:val="28"/>
        </w:rPr>
        <w:t xml:space="preserve"> Администрация Октябрьского административного округа </w:t>
      </w:r>
      <w:proofErr w:type="gramStart"/>
      <w:r w:rsidR="0030125C" w:rsidRPr="0030125C">
        <w:rPr>
          <w:sz w:val="28"/>
          <w:szCs w:val="28"/>
        </w:rPr>
        <w:t>г</w:t>
      </w:r>
      <w:proofErr w:type="gramEnd"/>
      <w:r w:rsidR="0030125C" w:rsidRPr="0030125C">
        <w:rPr>
          <w:sz w:val="28"/>
          <w:szCs w:val="28"/>
        </w:rPr>
        <w:t>.</w:t>
      </w:r>
      <w:r w:rsidR="0004706E">
        <w:rPr>
          <w:sz w:val="28"/>
          <w:szCs w:val="28"/>
        </w:rPr>
        <w:t xml:space="preserve"> </w:t>
      </w:r>
      <w:r w:rsidR="0030125C" w:rsidRPr="0030125C">
        <w:rPr>
          <w:sz w:val="28"/>
          <w:szCs w:val="28"/>
        </w:rPr>
        <w:t>Омска</w:t>
      </w:r>
      <w:r w:rsidR="0030125C">
        <w:rPr>
          <w:sz w:val="28"/>
          <w:szCs w:val="28"/>
        </w:rPr>
        <w:t>;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Омский Молодежный 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 xml:space="preserve">Многофункциональный 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Центр</w:t>
      </w:r>
      <w:r w:rsidR="00267F14" w:rsidRPr="00BD4D2A">
        <w:rPr>
          <w:sz w:val="28"/>
          <w:szCs w:val="28"/>
        </w:rPr>
        <w:t>;</w:t>
      </w:r>
      <w:r w:rsidR="00A713D2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  <w:r w:rsidR="00B03395" w:rsidRPr="00BD4D2A">
        <w:rPr>
          <w:sz w:val="28"/>
          <w:szCs w:val="28"/>
        </w:rPr>
        <w:t xml:space="preserve">              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_GoBack"/>
      <w:bookmarkEnd w:id="1"/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B03395" w:rsidRPr="00BD4D2A">
        <w:rPr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2D42FC">
        <w:rPr>
          <w:rFonts w:cs="Times New Roman"/>
          <w:color w:val="000000"/>
          <w:sz w:val="28"/>
          <w:szCs w:val="28"/>
        </w:rPr>
        <w:t>АО Почта России, ПАО «</w:t>
      </w:r>
      <w:proofErr w:type="spellStart"/>
      <w:r w:rsidR="002D42FC">
        <w:rPr>
          <w:rFonts w:cs="Times New Roman"/>
          <w:color w:val="000000"/>
          <w:sz w:val="28"/>
          <w:szCs w:val="28"/>
        </w:rPr>
        <w:t>Ростелеком</w:t>
      </w:r>
      <w:proofErr w:type="spellEnd"/>
      <w:r w:rsidR="002D42FC">
        <w:rPr>
          <w:rFonts w:cs="Times New Roman"/>
          <w:color w:val="000000"/>
          <w:sz w:val="28"/>
          <w:szCs w:val="28"/>
        </w:rPr>
        <w:t xml:space="preserve">», </w:t>
      </w:r>
      <w:r w:rsidR="002D42FC" w:rsidRPr="0030125C">
        <w:rPr>
          <w:rFonts w:cs="Times New Roman"/>
          <w:color w:val="000000"/>
          <w:sz w:val="28"/>
          <w:szCs w:val="28"/>
        </w:rPr>
        <w:t>ООО "</w:t>
      </w:r>
      <w:proofErr w:type="spellStart"/>
      <w:r w:rsidR="002D42FC" w:rsidRPr="0030125C">
        <w:rPr>
          <w:rFonts w:cs="Times New Roman"/>
          <w:color w:val="000000"/>
          <w:sz w:val="28"/>
          <w:szCs w:val="28"/>
        </w:rPr>
        <w:t>СпецЭлектоМонтаж</w:t>
      </w:r>
      <w:proofErr w:type="spellEnd"/>
      <w:r w:rsidR="002D42FC" w:rsidRPr="0030125C">
        <w:rPr>
          <w:rFonts w:cs="Times New Roman"/>
          <w:color w:val="000000"/>
          <w:sz w:val="28"/>
          <w:szCs w:val="28"/>
        </w:rPr>
        <w:t>"</w:t>
      </w:r>
      <w:r w:rsidR="002D42FC" w:rsidRPr="00BD4D2A">
        <w:rPr>
          <w:rFonts w:cs="Times New Roman"/>
          <w:color w:val="000000"/>
          <w:sz w:val="28"/>
          <w:szCs w:val="28"/>
        </w:rPr>
        <w:t xml:space="preserve">, </w:t>
      </w:r>
      <w:r w:rsidR="002D42FC" w:rsidRPr="0030125C">
        <w:rPr>
          <w:rFonts w:cs="Times New Roman"/>
          <w:color w:val="000000"/>
          <w:sz w:val="28"/>
          <w:szCs w:val="28"/>
        </w:rPr>
        <w:t xml:space="preserve">ООО "СДЭК </w:t>
      </w:r>
      <w:proofErr w:type="spellStart"/>
      <w:r w:rsidR="002D42FC" w:rsidRPr="0030125C">
        <w:rPr>
          <w:rFonts w:cs="Times New Roman"/>
          <w:color w:val="000000"/>
          <w:sz w:val="28"/>
          <w:szCs w:val="28"/>
        </w:rPr>
        <w:t>Глобал</w:t>
      </w:r>
      <w:proofErr w:type="spellEnd"/>
      <w:r w:rsidR="002D42FC" w:rsidRPr="0030125C">
        <w:rPr>
          <w:rFonts w:cs="Times New Roman"/>
          <w:color w:val="000000"/>
          <w:sz w:val="28"/>
          <w:szCs w:val="28"/>
        </w:rPr>
        <w:t xml:space="preserve">", </w:t>
      </w:r>
      <w:r w:rsidR="002D42FC" w:rsidRPr="00BD4D2A">
        <w:rPr>
          <w:rFonts w:cs="Times New Roman"/>
          <w:color w:val="000000"/>
          <w:sz w:val="28"/>
          <w:szCs w:val="28"/>
        </w:rPr>
        <w:t>ООО «</w:t>
      </w:r>
      <w:proofErr w:type="spellStart"/>
      <w:r w:rsidR="002D42FC" w:rsidRPr="00BD4D2A">
        <w:rPr>
          <w:rFonts w:cs="Times New Roman"/>
          <w:color w:val="000000"/>
          <w:sz w:val="28"/>
          <w:szCs w:val="28"/>
        </w:rPr>
        <w:t>Семстанция</w:t>
      </w:r>
      <w:proofErr w:type="spellEnd"/>
      <w:r w:rsidR="002D42FC" w:rsidRPr="00BD4D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2D42FC" w:rsidRPr="00BD4D2A">
        <w:rPr>
          <w:rFonts w:cs="Times New Roman"/>
          <w:color w:val="000000"/>
          <w:sz w:val="28"/>
          <w:szCs w:val="28"/>
        </w:rPr>
        <w:t>Исилькульская</w:t>
      </w:r>
      <w:proofErr w:type="spellEnd"/>
      <w:r w:rsidR="002D42FC" w:rsidRPr="00BD4D2A">
        <w:rPr>
          <w:rFonts w:cs="Times New Roman"/>
          <w:color w:val="000000"/>
          <w:sz w:val="28"/>
          <w:szCs w:val="28"/>
        </w:rPr>
        <w:t>»;</w:t>
      </w:r>
      <w:r w:rsidR="00BD4D2A" w:rsidRPr="00BD4D2A">
        <w:rPr>
          <w:rFonts w:cs="Times New Roman"/>
          <w:color w:val="000000"/>
          <w:sz w:val="28"/>
          <w:szCs w:val="28"/>
        </w:rPr>
        <w:t xml:space="preserve">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>е</w:t>
      </w:r>
      <w:r w:rsidR="00B03395" w:rsidRPr="00BD4D2A">
        <w:rPr>
          <w:rFonts w:cs="Times New Roman"/>
          <w:color w:val="000000"/>
          <w:sz w:val="28"/>
          <w:szCs w:val="28"/>
        </w:rPr>
        <w:t xml:space="preserve"> </w:t>
      </w:r>
      <w:r w:rsidRPr="00BD4D2A">
        <w:rPr>
          <w:rFonts w:cs="Times New Roman"/>
          <w:color w:val="000000"/>
          <w:sz w:val="28"/>
          <w:szCs w:val="28"/>
        </w:rPr>
        <w:t xml:space="preserve">организации: </w:t>
      </w:r>
      <w:r w:rsidR="005F3B3B" w:rsidRPr="00BD4D2A">
        <w:rPr>
          <w:rFonts w:cs="Times New Roman"/>
          <w:color w:val="000000"/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Вконтакте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»,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Инстаграм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890D64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890D64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94" w:rsidRDefault="00302594" w:rsidP="009C1578">
      <w:pPr>
        <w:spacing w:after="0" w:line="240" w:lineRule="auto"/>
      </w:pPr>
      <w:r>
        <w:separator/>
      </w:r>
    </w:p>
  </w:endnote>
  <w:endnote w:type="continuationSeparator" w:id="1">
    <w:p w:rsidR="00302594" w:rsidRDefault="0030259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94" w:rsidRDefault="00302594" w:rsidP="009C1578">
      <w:pPr>
        <w:spacing w:after="0" w:line="240" w:lineRule="auto"/>
      </w:pPr>
      <w:r>
        <w:separator/>
      </w:r>
    </w:p>
  </w:footnote>
  <w:footnote w:type="continuationSeparator" w:id="1">
    <w:p w:rsidR="00302594" w:rsidRDefault="00302594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36D47"/>
    <w:rsid w:val="0004554C"/>
    <w:rsid w:val="0004655C"/>
    <w:rsid w:val="0004706E"/>
    <w:rsid w:val="000758E2"/>
    <w:rsid w:val="000B2A33"/>
    <w:rsid w:val="000D66EE"/>
    <w:rsid w:val="000D7800"/>
    <w:rsid w:val="000E183C"/>
    <w:rsid w:val="00143687"/>
    <w:rsid w:val="0019712A"/>
    <w:rsid w:val="00230B25"/>
    <w:rsid w:val="00237552"/>
    <w:rsid w:val="00240D3C"/>
    <w:rsid w:val="002420E0"/>
    <w:rsid w:val="00260060"/>
    <w:rsid w:val="00267F14"/>
    <w:rsid w:val="00274E5B"/>
    <w:rsid w:val="002954F8"/>
    <w:rsid w:val="002A1A0D"/>
    <w:rsid w:val="002B00B8"/>
    <w:rsid w:val="002D42FC"/>
    <w:rsid w:val="0030125C"/>
    <w:rsid w:val="00302594"/>
    <w:rsid w:val="003067D5"/>
    <w:rsid w:val="00345067"/>
    <w:rsid w:val="003C0A6C"/>
    <w:rsid w:val="00422184"/>
    <w:rsid w:val="00423919"/>
    <w:rsid w:val="00483F72"/>
    <w:rsid w:val="004C73E6"/>
    <w:rsid w:val="004E0244"/>
    <w:rsid w:val="005029B0"/>
    <w:rsid w:val="005414FD"/>
    <w:rsid w:val="00544808"/>
    <w:rsid w:val="005F3B3B"/>
    <w:rsid w:val="00621860"/>
    <w:rsid w:val="0064738D"/>
    <w:rsid w:val="0067749D"/>
    <w:rsid w:val="006B3B3D"/>
    <w:rsid w:val="00761475"/>
    <w:rsid w:val="00776F0F"/>
    <w:rsid w:val="007A5807"/>
    <w:rsid w:val="007D473F"/>
    <w:rsid w:val="007F060F"/>
    <w:rsid w:val="007F2BDB"/>
    <w:rsid w:val="00802186"/>
    <w:rsid w:val="0088436F"/>
    <w:rsid w:val="00890D64"/>
    <w:rsid w:val="008E260A"/>
    <w:rsid w:val="00920944"/>
    <w:rsid w:val="00935B75"/>
    <w:rsid w:val="00993C83"/>
    <w:rsid w:val="00996F0B"/>
    <w:rsid w:val="009C1578"/>
    <w:rsid w:val="009C79B5"/>
    <w:rsid w:val="00A146EC"/>
    <w:rsid w:val="00A678D3"/>
    <w:rsid w:val="00A713D2"/>
    <w:rsid w:val="00AC6923"/>
    <w:rsid w:val="00AE59E8"/>
    <w:rsid w:val="00B03395"/>
    <w:rsid w:val="00B210E4"/>
    <w:rsid w:val="00B30C00"/>
    <w:rsid w:val="00B6320B"/>
    <w:rsid w:val="00BD4D2A"/>
    <w:rsid w:val="00BE7A74"/>
    <w:rsid w:val="00C46446"/>
    <w:rsid w:val="00C7052E"/>
    <w:rsid w:val="00CB2D02"/>
    <w:rsid w:val="00CF132D"/>
    <w:rsid w:val="00D20B9E"/>
    <w:rsid w:val="00D36888"/>
    <w:rsid w:val="00D87D5C"/>
    <w:rsid w:val="00E1297A"/>
    <w:rsid w:val="00E86AEA"/>
    <w:rsid w:val="00E938FC"/>
    <w:rsid w:val="00EB70C5"/>
    <w:rsid w:val="00EE4C98"/>
    <w:rsid w:val="00F043C6"/>
    <w:rsid w:val="00FA7771"/>
    <w:rsid w:val="00FB4278"/>
    <w:rsid w:val="00FD234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2083-3D6A-4F58-9FAA-3B8462EC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9069</Words>
  <Characters>51695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2022-07-20T11:32:00Z</dcterms:created>
  <dcterms:modified xsi:type="dcterms:W3CDTF">2022-07-20T11:32:00Z</dcterms:modified>
</cp:coreProperties>
</file>